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Правовое обеспечение формирования и оценки стоимости организации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формирования и оценки стоимости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«Правовое обеспечение формирования и оценки стоимости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«Правовое обеспечение формирования и оценки стоимости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определятль стоимость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нормативные правовые акты в области оценочной деятельности, основы налогового законодательства РФ, основы гражданского законодательства РФ, понятие и классификация гражданских прав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стандарты, правила и методологию определения стоимостей, соответствующую судебную практику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использовать в работе нормативные правовые акты в области оценочной деятельности, основы налогового законодательства РФ, основы гражданского законодательства РФ</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владеть навыками использования в работе и анализе правоустанавливающих документов на имущество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владеть навыками анализа информации об организации и совокупности прав на нее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26.3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«Правовое обеспечение формирования и оценки стоимости организации» относится к обязательной части, является дисциплиной Блока Б1.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«Дисциплины (модули)».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обеспечение в сфере оценочной деятельности</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Организация оценочной деятельности в Российской Федерации</w:t>
            </w:r>
          </w:p>
          <w:p>
            <w:pPr>
              <w:jc w:val="center"/>
              <w:spacing w:after="0" w:line="240" w:lineRule="auto"/>
              <w:rPr>
                <w:sz w:val="22"/>
                <w:szCs w:val="22"/>
              </w:rPr>
            </w:pPr>
            <w:r>
              <w:rPr>
                <w:rFonts w:ascii="Times New Roman" w:hAnsi="Times New Roman" w:cs="Times New Roman"/>
                <w:color w:val="#000000"/>
                <w:sz w:val="22"/>
                <w:szCs w:val="22"/>
              </w:rPr>
              <w:t> Оценка и экспертиза стоимости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Регулирование оценочной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Обоснование заключения о стоимости имущества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оценки имущества в деле о банкротстве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Регулирование оценочной деятельности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Обоснование заключения о стоимости имущества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оценки имущества в деле о банкротстве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54.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Регулирование оценочной деятельности в РФ</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Федеральный закон «Об оценочной деятельности в Российской Федерации». Объекты оценки. Субъекты оценочной деятельности. Отношения, регулируемые законом, случаи обязательности проведения оценки объектов собственности Российской Федерации и её субъектов. Правовое обеспечение и регулирование обращения собственности, правоустанавливающие документы объекта оценки. Система регулирования оценочной деятельности в РФ. Органы регулирования оценочной деятельности в РФ: Федеральные органы исполнительной власти, уполномоченные Правительством РФ; Национальный совет по оценочной деятельности (НСОД)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правового обеспечения оценщиков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Регулирование деятельности оценщика саморегулируемыми организациями оценщиков. Субъекты оценочной деятельности. Принципы оценочной деятельности (оценщик, юридического лица занимающегося оценочной деятельностью, саморегулируемой организацией оценщиков, заказчики (потребители) оценочных услуг). Соотношение правового положения оценщика с правовым положением аудитора, частнопрактикующего нотариуса и адвоката.</w:t>
            </w:r>
          </w:p>
          <w:p>
            <w:pPr>
              <w:jc w:val="both"/>
              <w:spacing w:after="0" w:line="240" w:lineRule="auto"/>
              <w:rPr>
                <w:sz w:val="24"/>
                <w:szCs w:val="24"/>
              </w:rPr>
            </w:pPr>
            <w:r>
              <w:rPr>
                <w:rFonts w:ascii="Times New Roman" w:hAnsi="Times New Roman" w:cs="Times New Roman"/>
                <w:color w:val="#000000"/>
                <w:sz w:val="24"/>
                <w:szCs w:val="24"/>
              </w:rPr>
              <w:t> Оценочные услуги. Добровольная и обязательная оценка. Аккредитация оценщика. Права и обязанности сторон. Оценка по решению уполномоченного органа. Кадастровая оценка, для целей налогообложения. Критерии уровня знаний эксперта саморегулируемой организации оценщиков (СРОО). Требования к уровню знаний эксперта СРОО.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Обоснование заключения о стоимости имущества организации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 стандарты оценочной деятельности в России. Оценка недвижимости и отдельных видов имущества в российском законодательстве. Стандарты оценочной деятельности в Российской Федерации. Применение стандартов оценки в практике оценщиков. Согласование результатов оценки. Составление письменного отчета по оценке, его основные разделы. Требования, предъявляемые к отчету по оценке. Стандартные финансовые отчеты и анализ коэффициентов, характеризующих стоимость. Международные стандарты оценки. Ведущие международные организации оценщиков. Стандарты IVSC и TEGoVA.</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оценки имущества в деле о банкротстве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Федеральный закон от 26.10.2002 No127-ФЗ «О не состоятельности (банкротстве)». Привлечение для определения стоимости предприятия и его активов независимых оценщиков. Положения, условия и ограничения оценки собственности в ходе арбитражного процесса. Задание на оценку, как неотъемлемая часть договора на проведение оценки. Оценка имущества должника в конкурсном производстве.</w:t>
            </w:r>
          </w:p>
          <w:p>
            <w:pPr>
              <w:jc w:val="both"/>
              <w:spacing w:after="0" w:line="240" w:lineRule="auto"/>
              <w:rPr>
                <w:sz w:val="24"/>
                <w:szCs w:val="24"/>
              </w:rPr>
            </w:pPr>
            <w:r>
              <w:rPr>
                <w:rFonts w:ascii="Times New Roman" w:hAnsi="Times New Roman" w:cs="Times New Roman"/>
                <w:color w:val="#000000"/>
                <w:sz w:val="24"/>
                <w:szCs w:val="24"/>
              </w:rPr>
              <w:t> Оценка имущества должника, подлежащего реализации на торгах.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Условия заключения и исполнения договоров об оценке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природа договора об оценке имущества. Заключение договора об оценке имущества. Необходимые документы предоставляемые оценщику заказчиком (в зависимости от объекта оценки) Стороны договора об оценке имущества. Права и обязанности сторон. Конфликт интересов. Обязательные условия заключения и исполнения договора об оценке. Исполнение договора об оценке имущества и ответственность за его нарушение. Структура и основные положения договора оценщика с заказчиком.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Регулирование оценочной деятельности в РФ</w:t>
            </w:r>
          </w:p>
        </w:tc>
      </w:tr>
      <w:tr>
        <w:trPr>
          <w:trHeight w:hRule="exact" w:val="21.31495"/>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законодательных и подзаконных нормативных актов, регулирующих оценочную деятельность в РФ.</w:t>
            </w:r>
          </w:p>
          <w:p>
            <w:pPr>
              <w:jc w:val="left"/>
              <w:spacing w:after="0" w:line="240" w:lineRule="auto"/>
              <w:rPr>
                <w:sz w:val="24"/>
                <w:szCs w:val="24"/>
              </w:rPr>
            </w:pPr>
            <w:r>
              <w:rPr>
                <w:rFonts w:ascii="Times New Roman" w:hAnsi="Times New Roman" w:cs="Times New Roman"/>
                <w:color w:val="#000000"/>
                <w:sz w:val="24"/>
                <w:szCs w:val="24"/>
              </w:rPr>
              <w:t> 2.	Контроль за осуществлением оценочной деятельности в РФ.</w:t>
            </w:r>
          </w:p>
          <w:p>
            <w:pPr>
              <w:jc w:val="left"/>
              <w:spacing w:after="0" w:line="240" w:lineRule="auto"/>
              <w:rPr>
                <w:sz w:val="24"/>
                <w:szCs w:val="24"/>
              </w:rPr>
            </w:pPr>
            <w:r>
              <w:rPr>
                <w:rFonts w:ascii="Times New Roman" w:hAnsi="Times New Roman" w:cs="Times New Roman"/>
                <w:color w:val="#000000"/>
                <w:sz w:val="24"/>
                <w:szCs w:val="24"/>
              </w:rPr>
              <w:t> 3.	Правовое обеспечение проведения оценочных работ.</w:t>
            </w:r>
          </w:p>
          <w:p>
            <w:pPr>
              <w:jc w:val="left"/>
              <w:spacing w:after="0" w:line="240" w:lineRule="auto"/>
              <w:rPr>
                <w:sz w:val="24"/>
                <w:szCs w:val="24"/>
              </w:rPr>
            </w:pPr>
            <w:r>
              <w:rPr>
                <w:rFonts w:ascii="Times New Roman" w:hAnsi="Times New Roman" w:cs="Times New Roman"/>
                <w:color w:val="#000000"/>
                <w:sz w:val="24"/>
                <w:szCs w:val="24"/>
              </w:rPr>
              <w:t> 4.	Требования к осуществлению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5.	Государственно-властное регулирование и контроль в сфере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6.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7.	Общие понятия оценки. Подходы к оценке.</w:t>
            </w:r>
          </w:p>
          <w:p>
            <w:pPr>
              <w:jc w:val="left"/>
              <w:spacing w:after="0" w:line="240" w:lineRule="auto"/>
              <w:rPr>
                <w:sz w:val="24"/>
                <w:szCs w:val="24"/>
              </w:rPr>
            </w:pPr>
            <w:r>
              <w:rPr>
                <w:rFonts w:ascii="Times New Roman" w:hAnsi="Times New Roman" w:cs="Times New Roman"/>
                <w:color w:val="#000000"/>
                <w:sz w:val="24"/>
                <w:szCs w:val="24"/>
              </w:rPr>
              <w:t> 8.	Требования к проведению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9.	Цель оценки и предполагаемое использование результатов оценки.</w:t>
            </w:r>
          </w:p>
          <w:p>
            <w:pPr>
              <w:jc w:val="left"/>
              <w:spacing w:after="0" w:line="240" w:lineRule="auto"/>
              <w:rPr>
                <w:sz w:val="24"/>
                <w:szCs w:val="24"/>
              </w:rPr>
            </w:pPr>
            <w:r>
              <w:rPr>
                <w:rFonts w:ascii="Times New Roman" w:hAnsi="Times New Roman" w:cs="Times New Roman"/>
                <w:color w:val="#000000"/>
                <w:sz w:val="24"/>
                <w:szCs w:val="24"/>
              </w:rPr>
              <w:t> 10.	Виды стоимости.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11.	Требования к составлению отчета об оценке.</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правового обеспечения оценщиков</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 обязанности, независимость оценщиков оценочной.</w:t>
            </w:r>
          </w:p>
          <w:p>
            <w:pPr>
              <w:jc w:val="left"/>
              <w:spacing w:after="0" w:line="240" w:lineRule="auto"/>
              <w:rPr>
                <w:sz w:val="24"/>
                <w:szCs w:val="24"/>
              </w:rPr>
            </w:pPr>
            <w:r>
              <w:rPr>
                <w:rFonts w:ascii="Times New Roman" w:hAnsi="Times New Roman" w:cs="Times New Roman"/>
                <w:color w:val="#000000"/>
                <w:sz w:val="24"/>
                <w:szCs w:val="24"/>
              </w:rPr>
              <w:t> 2.	Документальное оформление оценочной деятельности. Этапы оценки.</w:t>
            </w:r>
          </w:p>
          <w:p>
            <w:pPr>
              <w:jc w:val="left"/>
              <w:spacing w:after="0" w:line="240" w:lineRule="auto"/>
              <w:rPr>
                <w:sz w:val="24"/>
                <w:szCs w:val="24"/>
              </w:rPr>
            </w:pPr>
            <w:r>
              <w:rPr>
                <w:rFonts w:ascii="Times New Roman" w:hAnsi="Times New Roman" w:cs="Times New Roman"/>
                <w:color w:val="#000000"/>
                <w:sz w:val="24"/>
                <w:szCs w:val="24"/>
              </w:rPr>
              <w:t> 3.	Обязательность проведения оценки в установленных законодательством случаях.</w:t>
            </w:r>
          </w:p>
          <w:p>
            <w:pPr>
              <w:jc w:val="left"/>
              <w:spacing w:after="0" w:line="240" w:lineRule="auto"/>
              <w:rPr>
                <w:sz w:val="24"/>
                <w:szCs w:val="24"/>
              </w:rPr>
            </w:pPr>
            <w:r>
              <w:rPr>
                <w:rFonts w:ascii="Times New Roman" w:hAnsi="Times New Roman" w:cs="Times New Roman"/>
                <w:color w:val="#000000"/>
                <w:sz w:val="24"/>
                <w:szCs w:val="24"/>
              </w:rPr>
              <w:t> 4.	Правовой режим различных целей оценки.</w:t>
            </w:r>
          </w:p>
          <w:p>
            <w:pPr>
              <w:jc w:val="left"/>
              <w:spacing w:after="0" w:line="240" w:lineRule="auto"/>
              <w:rPr>
                <w:sz w:val="24"/>
                <w:szCs w:val="24"/>
              </w:rPr>
            </w:pPr>
            <w:r>
              <w:rPr>
                <w:rFonts w:ascii="Times New Roman" w:hAnsi="Times New Roman" w:cs="Times New Roman"/>
                <w:color w:val="#000000"/>
                <w:sz w:val="24"/>
                <w:szCs w:val="24"/>
              </w:rPr>
              <w:t> 5.	Регулирование деятельности оценщика саморегулируемыми организациями оценщиков.</w:t>
            </w:r>
          </w:p>
          <w:p>
            <w:pPr>
              <w:jc w:val="left"/>
              <w:spacing w:after="0" w:line="240" w:lineRule="auto"/>
              <w:rPr>
                <w:sz w:val="24"/>
                <w:szCs w:val="24"/>
              </w:rPr>
            </w:pPr>
            <w:r>
              <w:rPr>
                <w:rFonts w:ascii="Times New Roman" w:hAnsi="Times New Roman" w:cs="Times New Roman"/>
                <w:color w:val="#000000"/>
                <w:sz w:val="24"/>
                <w:szCs w:val="24"/>
              </w:rPr>
              <w:t> 6.	Практика проведения переговоров и заключения договоров на проведение оценочных работ.</w:t>
            </w:r>
          </w:p>
          <w:p>
            <w:pPr>
              <w:jc w:val="left"/>
              <w:spacing w:after="0" w:line="240" w:lineRule="auto"/>
              <w:rPr>
                <w:sz w:val="24"/>
                <w:szCs w:val="24"/>
              </w:rPr>
            </w:pPr>
            <w:r>
              <w:rPr>
                <w:rFonts w:ascii="Times New Roman" w:hAnsi="Times New Roman" w:cs="Times New Roman"/>
                <w:color w:val="#000000"/>
                <w:sz w:val="24"/>
                <w:szCs w:val="24"/>
              </w:rPr>
              <w:t> 7.	 Критерии уровня знаний эксперта саморегулируемой организации оценщиков (СРОО). Требования к уровню знаний эксперта СРОО.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Обоснование заключения о стоимости имущества организации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Закон об оценочной деятельности в Российской Федерации и Федеральные стандарты оценки. Требования к содержанию отчета об оценке.</w:t>
            </w:r>
          </w:p>
          <w:p>
            <w:pPr>
              <w:jc w:val="left"/>
              <w:spacing w:after="0" w:line="240" w:lineRule="auto"/>
              <w:rPr>
                <w:sz w:val="24"/>
                <w:szCs w:val="24"/>
              </w:rPr>
            </w:pPr>
            <w:r>
              <w:rPr>
                <w:rFonts w:ascii="Times New Roman" w:hAnsi="Times New Roman" w:cs="Times New Roman"/>
                <w:color w:val="#000000"/>
                <w:sz w:val="24"/>
                <w:szCs w:val="24"/>
              </w:rPr>
              <w:t> 2.	Задачи и структура отчета, требования, предъявляемые к отчету об оценке. Международные и европейские стандарты оценки.</w:t>
            </w:r>
          </w:p>
          <w:p>
            <w:pPr>
              <w:jc w:val="left"/>
              <w:spacing w:after="0" w:line="240" w:lineRule="auto"/>
              <w:rPr>
                <w:sz w:val="24"/>
                <w:szCs w:val="24"/>
              </w:rPr>
            </w:pPr>
            <w:r>
              <w:rPr>
                <w:rFonts w:ascii="Times New Roman" w:hAnsi="Times New Roman" w:cs="Times New Roman"/>
                <w:color w:val="#000000"/>
                <w:sz w:val="24"/>
                <w:szCs w:val="24"/>
              </w:rPr>
              <w:t> 3.	Виды стоимости, используемые в оценке. Взаимосвязь целей оценки и видов стоимости.</w:t>
            </w:r>
          </w:p>
          <w:p>
            <w:pPr>
              <w:jc w:val="left"/>
              <w:spacing w:after="0" w:line="240" w:lineRule="auto"/>
              <w:rPr>
                <w:sz w:val="24"/>
                <w:szCs w:val="24"/>
              </w:rPr>
            </w:pPr>
            <w:r>
              <w:rPr>
                <w:rFonts w:ascii="Times New Roman" w:hAnsi="Times New Roman" w:cs="Times New Roman"/>
                <w:color w:val="#000000"/>
                <w:sz w:val="24"/>
                <w:szCs w:val="24"/>
              </w:rPr>
              <w:t> 4.	Объекты и субъекты стоимостной оценки, права и обязанности оценщика и заказчика. Ответственность оценщика.</w:t>
            </w:r>
          </w:p>
          <w:p>
            <w:pPr>
              <w:jc w:val="left"/>
              <w:spacing w:after="0" w:line="240" w:lineRule="auto"/>
              <w:rPr>
                <w:sz w:val="24"/>
                <w:szCs w:val="24"/>
              </w:rPr>
            </w:pPr>
            <w:r>
              <w:rPr>
                <w:rFonts w:ascii="Times New Roman" w:hAnsi="Times New Roman" w:cs="Times New Roman"/>
                <w:color w:val="#000000"/>
                <w:sz w:val="24"/>
                <w:szCs w:val="24"/>
              </w:rPr>
              <w:t> 5.	Основные этапы процесса оценки.</w:t>
            </w:r>
          </w:p>
          <w:p>
            <w:pPr>
              <w:jc w:val="left"/>
              <w:spacing w:after="0" w:line="240" w:lineRule="auto"/>
              <w:rPr>
                <w:sz w:val="24"/>
                <w:szCs w:val="24"/>
              </w:rPr>
            </w:pPr>
            <w:r>
              <w:rPr>
                <w:rFonts w:ascii="Times New Roman" w:hAnsi="Times New Roman" w:cs="Times New Roman"/>
                <w:color w:val="#000000"/>
                <w:sz w:val="24"/>
                <w:szCs w:val="24"/>
              </w:rPr>
              <w:t> 6.	Имущественный комплекс предприятия как объекты оценки.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оценки имущества в деле о банкротстве</w:t>
            </w:r>
          </w:p>
        </w:tc>
      </w:tr>
      <w:tr>
        <w:trPr>
          <w:trHeight w:hRule="exact" w:val="21.31518"/>
        </w:trPr>
        <w:tc>
          <w:tcPr>
            <w:tcW w:w="9640" w:type="dxa"/>
          </w:tcPr>
          <w:p/>
        </w:tc>
      </w:tr>
      <w:tr>
        <w:trPr>
          <w:trHeight w:hRule="exact" w:val="1788.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Федеральный закон от 26.10.2002 No127-ФЗ «О не состоятельности (банкротстве)».</w:t>
            </w:r>
          </w:p>
          <w:p>
            <w:pPr>
              <w:jc w:val="left"/>
              <w:spacing w:after="0" w:line="240" w:lineRule="auto"/>
              <w:rPr>
                <w:sz w:val="24"/>
                <w:szCs w:val="24"/>
              </w:rPr>
            </w:pPr>
            <w:r>
              <w:rPr>
                <w:rFonts w:ascii="Times New Roman" w:hAnsi="Times New Roman" w:cs="Times New Roman"/>
                <w:color w:val="#000000"/>
                <w:sz w:val="24"/>
                <w:szCs w:val="24"/>
              </w:rPr>
              <w:t> 2.	Привлечение для определения стоимости предприятия и его активов независимых оценщиков.</w:t>
            </w:r>
          </w:p>
          <w:p>
            <w:pPr>
              <w:jc w:val="left"/>
              <w:spacing w:after="0" w:line="240" w:lineRule="auto"/>
              <w:rPr>
                <w:sz w:val="24"/>
                <w:szCs w:val="24"/>
              </w:rPr>
            </w:pPr>
            <w:r>
              <w:rPr>
                <w:rFonts w:ascii="Times New Roman" w:hAnsi="Times New Roman" w:cs="Times New Roman"/>
                <w:color w:val="#000000"/>
                <w:sz w:val="24"/>
                <w:szCs w:val="24"/>
              </w:rPr>
              <w:t> 3.	Положения, условия и ограничения оценки собственности в ходе арбитражного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Задание на оценку, как неотъемлемая часть договора на проведение оценки.</w:t>
            </w:r>
          </w:p>
          <w:p>
            <w:pPr>
              <w:jc w:val="left"/>
              <w:spacing w:after="0" w:line="240" w:lineRule="auto"/>
              <w:rPr>
                <w:sz w:val="24"/>
                <w:szCs w:val="24"/>
              </w:rPr>
            </w:pPr>
            <w:r>
              <w:rPr>
                <w:rFonts w:ascii="Times New Roman" w:hAnsi="Times New Roman" w:cs="Times New Roman"/>
                <w:color w:val="#000000"/>
                <w:sz w:val="24"/>
                <w:szCs w:val="24"/>
              </w:rPr>
              <w:t> 5.	Оценка имущества должника, подлежащего реализации на торгах.</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Условия заключения и исполнения договоров об оценке</w:t>
            </w:r>
          </w:p>
        </w:tc>
      </w:tr>
      <w:tr>
        <w:trPr>
          <w:trHeight w:hRule="exact" w:val="21.31495"/>
        </w:trPr>
        <w:tc>
          <w:tcPr>
            <w:tcW w:w="285" w:type="dxa"/>
          </w:tcPr>
          <w:p/>
        </w:tc>
        <w:tc>
          <w:tcPr>
            <w:tcW w:w="9356" w:type="dxa"/>
          </w:tcPr>
          <w:p/>
        </w:tc>
      </w:tr>
      <w:tr>
        <w:trPr>
          <w:trHeight w:hRule="exact" w:val="2478.2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Договорные отношения в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2. Обязательные условия заключения и исполнения договора об оценке.</w:t>
            </w:r>
          </w:p>
          <w:p>
            <w:pPr>
              <w:jc w:val="left"/>
              <w:spacing w:after="0" w:line="240" w:lineRule="auto"/>
              <w:rPr>
                <w:sz w:val="24"/>
                <w:szCs w:val="24"/>
              </w:rPr>
            </w:pPr>
            <w:r>
              <w:rPr>
                <w:rFonts w:ascii="Times New Roman" w:hAnsi="Times New Roman" w:cs="Times New Roman"/>
                <w:color w:val="#000000"/>
                <w:sz w:val="24"/>
                <w:szCs w:val="24"/>
              </w:rPr>
              <w:t> 3. Права и обязанности сторон. Конфликт интересов.</w:t>
            </w:r>
          </w:p>
          <w:p>
            <w:pPr>
              <w:jc w:val="left"/>
              <w:spacing w:after="0" w:line="240" w:lineRule="auto"/>
              <w:rPr>
                <w:sz w:val="24"/>
                <w:szCs w:val="24"/>
              </w:rPr>
            </w:pPr>
            <w:r>
              <w:rPr>
                <w:rFonts w:ascii="Times New Roman" w:hAnsi="Times New Roman" w:cs="Times New Roman"/>
                <w:color w:val="#000000"/>
                <w:sz w:val="24"/>
                <w:szCs w:val="24"/>
              </w:rPr>
              <w:t> 4. Страхование гражданской ответственности.</w:t>
            </w:r>
          </w:p>
          <w:p>
            <w:pPr>
              <w:jc w:val="left"/>
              <w:spacing w:after="0" w:line="240" w:lineRule="auto"/>
              <w:rPr>
                <w:sz w:val="24"/>
                <w:szCs w:val="24"/>
              </w:rPr>
            </w:pPr>
            <w:r>
              <w:rPr>
                <w:rFonts w:ascii="Times New Roman" w:hAnsi="Times New Roman" w:cs="Times New Roman"/>
                <w:color w:val="#000000"/>
                <w:sz w:val="24"/>
                <w:szCs w:val="24"/>
              </w:rPr>
              <w:t> 5. Основные требования к формированию отчета об оценке. Структура отчета. Основные разделы отчета.</w:t>
            </w:r>
          </w:p>
          <w:p>
            <w:pPr>
              <w:jc w:val="left"/>
              <w:spacing w:after="0" w:line="240" w:lineRule="auto"/>
              <w:rPr>
                <w:sz w:val="24"/>
                <w:szCs w:val="24"/>
              </w:rPr>
            </w:pPr>
            <w:r>
              <w:rPr>
                <w:rFonts w:ascii="Times New Roman" w:hAnsi="Times New Roman" w:cs="Times New Roman"/>
                <w:color w:val="#000000"/>
                <w:sz w:val="24"/>
                <w:szCs w:val="24"/>
              </w:rPr>
              <w:t> 6. Отчеты для специальных целей. Способы согласования весов, присваиваемых различными подходами.</w:t>
            </w:r>
          </w:p>
          <w:p>
            <w:pPr>
              <w:jc w:val="left"/>
              <w:spacing w:after="0" w:line="240" w:lineRule="auto"/>
              <w:rPr>
                <w:sz w:val="24"/>
                <w:szCs w:val="24"/>
              </w:rPr>
            </w:pPr>
            <w:r>
              <w:rPr>
                <w:rFonts w:ascii="Times New Roman" w:hAnsi="Times New Roman" w:cs="Times New Roman"/>
                <w:color w:val="#000000"/>
                <w:sz w:val="24"/>
                <w:szCs w:val="24"/>
              </w:rPr>
              <w:t> 7. Выводы итоговой величины стоимости.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«Правовое обеспечение формирования и оценки стоимости организации»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978-5-534-08022-3.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активов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Землянский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https://urait.ru/bcode/474651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кадастровой</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Пылаева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https://urait.ru/bcode/448353</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421.8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2022-2023_ФГОС3++2022_Бак-ЗФО-Э(БАиОСИ)(22)_plx_Правовое обеспечение формирования и оценки стоимости организации</dc:title>
  <dc:creator>FastReport.NET</dc:creator>
</cp:coreProperties>
</file>